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A499" w14:textId="5F5C0801" w:rsidR="002208FF" w:rsidRPr="00A867AE" w:rsidRDefault="00F9105A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t>In October 20</w:t>
      </w:r>
      <w:r w:rsidR="000872BA" w:rsidRPr="00A867AE">
        <w:t>2</w:t>
      </w:r>
      <w:r w:rsidRPr="00A867AE">
        <w:t>1, t</w:t>
      </w:r>
      <w:r w:rsidR="00A376B1" w:rsidRPr="00A867AE">
        <w:t xml:space="preserve">he Office of Liquor and Gaming Regulation commenced investigations into various aspects of The Star </w:t>
      </w:r>
      <w:r w:rsidRPr="00A867AE">
        <w:t xml:space="preserve">Entertainment Group Limited (Star </w:t>
      </w:r>
      <w:r w:rsidR="00A376B1" w:rsidRPr="00A867AE">
        <w:t>Group</w:t>
      </w:r>
      <w:r w:rsidRPr="00A867AE">
        <w:t>)</w:t>
      </w:r>
      <w:r w:rsidR="00A376B1" w:rsidRPr="00A867AE">
        <w:t xml:space="preserve"> Queensland operations</w:t>
      </w:r>
      <w:r w:rsidRPr="00A867AE">
        <w:t>,</w:t>
      </w:r>
      <w:r w:rsidR="00A376B1" w:rsidRPr="00A867AE">
        <w:t xml:space="preserve"> in </w:t>
      </w:r>
      <w:r w:rsidRPr="00A867AE">
        <w:t>response to the heightened attention around casino integrity and media allegations relating to the Star Group</w:t>
      </w:r>
      <w:r w:rsidR="00A376B1" w:rsidRPr="00A867AE">
        <w:t>.</w:t>
      </w:r>
    </w:p>
    <w:p w14:paraId="0FE9A49B" w14:textId="77777777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t>To ensure Queensland casinos operate to the highest standards of integrity, as expected</w:t>
      </w:r>
      <w:r w:rsidRPr="00A867AE">
        <w:rPr>
          <w:spacing w:val="-10"/>
        </w:rPr>
        <w:t xml:space="preserve"> </w:t>
      </w:r>
      <w:r w:rsidRPr="00A867AE">
        <w:t>by</w:t>
      </w:r>
      <w:r w:rsidRPr="00A867AE">
        <w:rPr>
          <w:spacing w:val="-13"/>
        </w:rPr>
        <w:t xml:space="preserve"> </w:t>
      </w:r>
      <w:r w:rsidRPr="00A867AE">
        <w:t>the</w:t>
      </w:r>
      <w:r w:rsidRPr="00A867AE">
        <w:rPr>
          <w:spacing w:val="-13"/>
        </w:rPr>
        <w:t xml:space="preserve"> </w:t>
      </w:r>
      <w:r w:rsidRPr="00A867AE">
        <w:t>Government</w:t>
      </w:r>
      <w:r w:rsidRPr="00A867AE">
        <w:rPr>
          <w:spacing w:val="-9"/>
        </w:rPr>
        <w:t xml:space="preserve"> </w:t>
      </w:r>
      <w:r w:rsidRPr="00A867AE">
        <w:t>and</w:t>
      </w:r>
      <w:r w:rsidRPr="00A867AE">
        <w:rPr>
          <w:spacing w:val="-13"/>
        </w:rPr>
        <w:t xml:space="preserve"> </w:t>
      </w:r>
      <w:r w:rsidRPr="00A867AE">
        <w:t>the</w:t>
      </w:r>
      <w:r w:rsidRPr="00A867AE">
        <w:rPr>
          <w:spacing w:val="-11"/>
        </w:rPr>
        <w:t xml:space="preserve"> </w:t>
      </w:r>
      <w:r w:rsidRPr="00A867AE">
        <w:t>community,</w:t>
      </w:r>
      <w:r w:rsidRPr="00A867AE">
        <w:rPr>
          <w:spacing w:val="-11"/>
        </w:rPr>
        <w:t xml:space="preserve"> </w:t>
      </w:r>
      <w:r w:rsidRPr="00A867AE">
        <w:t>a</w:t>
      </w:r>
      <w:r w:rsidRPr="00A867AE">
        <w:rPr>
          <w:spacing w:val="-8"/>
        </w:rPr>
        <w:t xml:space="preserve"> </w:t>
      </w:r>
      <w:r w:rsidRPr="00A867AE">
        <w:t>review</w:t>
      </w:r>
      <w:r w:rsidRPr="00A867AE">
        <w:rPr>
          <w:spacing w:val="-11"/>
        </w:rPr>
        <w:t xml:space="preserve"> </w:t>
      </w:r>
      <w:r w:rsidRPr="00A867AE">
        <w:t>into</w:t>
      </w:r>
      <w:r w:rsidRPr="00A867AE">
        <w:rPr>
          <w:spacing w:val="-10"/>
        </w:rPr>
        <w:t xml:space="preserve"> </w:t>
      </w:r>
      <w:r w:rsidRPr="00A867AE">
        <w:t>the</w:t>
      </w:r>
      <w:r w:rsidRPr="00A867AE">
        <w:rPr>
          <w:spacing w:val="-10"/>
        </w:rPr>
        <w:t xml:space="preserve"> </w:t>
      </w:r>
      <w:r w:rsidRPr="00A867AE">
        <w:t>operation</w:t>
      </w:r>
      <w:r w:rsidRPr="00A867AE">
        <w:rPr>
          <w:spacing w:val="-11"/>
        </w:rPr>
        <w:t xml:space="preserve"> </w:t>
      </w:r>
      <w:r w:rsidRPr="00A867AE">
        <w:t>of</w:t>
      </w:r>
      <w:r w:rsidRPr="00A867AE">
        <w:rPr>
          <w:spacing w:val="-9"/>
        </w:rPr>
        <w:t xml:space="preserve"> </w:t>
      </w:r>
      <w:r w:rsidRPr="00A867AE">
        <w:t>the</w:t>
      </w:r>
      <w:r w:rsidRPr="00A867AE">
        <w:rPr>
          <w:spacing w:val="-11"/>
        </w:rPr>
        <w:t xml:space="preserve"> </w:t>
      </w:r>
      <w:r w:rsidRPr="00A867AE">
        <w:t>Star Group’s Queensland casinos is warranted.</w:t>
      </w:r>
    </w:p>
    <w:p w14:paraId="0FE9A49D" w14:textId="06C81CE7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t xml:space="preserve">The Review </w:t>
      </w:r>
      <w:r w:rsidR="00C91A9F" w:rsidRPr="00A867AE">
        <w:t>includes</w:t>
      </w:r>
      <w:r w:rsidRPr="00A867AE">
        <w:t xml:space="preserve"> three parts: </w:t>
      </w:r>
      <w:r w:rsidRPr="00A867AE">
        <w:rPr>
          <w:b/>
        </w:rPr>
        <w:t xml:space="preserve">Part A </w:t>
      </w:r>
      <w:r w:rsidRPr="00A867AE">
        <w:t>- an inquiry into the operation of The Star Gold Coast and Treasury</w:t>
      </w:r>
      <w:r w:rsidR="00B5033E" w:rsidRPr="00A867AE">
        <w:t xml:space="preserve"> Brisbane</w:t>
      </w:r>
      <w:r w:rsidRPr="00A867AE">
        <w:t xml:space="preserve"> casinos under s</w:t>
      </w:r>
      <w:r w:rsidR="00A867AE">
        <w:t xml:space="preserve">ection </w:t>
      </w:r>
      <w:r w:rsidRPr="00A867AE">
        <w:t xml:space="preserve">91 of the </w:t>
      </w:r>
      <w:r w:rsidRPr="00A867AE">
        <w:rPr>
          <w:i/>
        </w:rPr>
        <w:t xml:space="preserve">Casino Control Act 1982 </w:t>
      </w:r>
      <w:r w:rsidRPr="00A867AE">
        <w:t xml:space="preserve">(Casino Control Act); </w:t>
      </w:r>
      <w:r w:rsidRPr="00A867AE">
        <w:rPr>
          <w:b/>
        </w:rPr>
        <w:t>Part B</w:t>
      </w:r>
      <w:r w:rsidRPr="00A867AE">
        <w:rPr>
          <w:b/>
          <w:spacing w:val="-1"/>
        </w:rPr>
        <w:t xml:space="preserve"> </w:t>
      </w:r>
      <w:r w:rsidRPr="00A867AE">
        <w:t>–</w:t>
      </w:r>
      <w:r w:rsidRPr="00A867AE">
        <w:rPr>
          <w:spacing w:val="-2"/>
        </w:rPr>
        <w:t xml:space="preserve"> </w:t>
      </w:r>
      <w:r w:rsidRPr="00A867AE">
        <w:t>provision of advice</w:t>
      </w:r>
      <w:r w:rsidRPr="00A867AE">
        <w:rPr>
          <w:spacing w:val="-2"/>
        </w:rPr>
        <w:t xml:space="preserve"> </w:t>
      </w:r>
      <w:r w:rsidRPr="00A867AE">
        <w:t>in relation</w:t>
      </w:r>
      <w:r w:rsidRPr="00A867AE">
        <w:rPr>
          <w:spacing w:val="-2"/>
        </w:rPr>
        <w:t xml:space="preserve"> </w:t>
      </w:r>
      <w:r w:rsidRPr="00A867AE">
        <w:t>to ongoing</w:t>
      </w:r>
      <w:r w:rsidRPr="00A867AE">
        <w:rPr>
          <w:spacing w:val="-2"/>
        </w:rPr>
        <w:t xml:space="preserve"> </w:t>
      </w:r>
      <w:r w:rsidRPr="00A867AE">
        <w:t xml:space="preserve">suitability; and </w:t>
      </w:r>
      <w:r w:rsidRPr="00A867AE">
        <w:rPr>
          <w:b/>
        </w:rPr>
        <w:t xml:space="preserve">Part C </w:t>
      </w:r>
      <w:r w:rsidRPr="00A867AE">
        <w:t>– provision of advice to enhance casino regulation.</w:t>
      </w:r>
    </w:p>
    <w:p w14:paraId="0FE9A49F" w14:textId="5E5627D4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rPr>
          <w:b/>
        </w:rPr>
        <w:t>Part</w:t>
      </w:r>
      <w:r w:rsidRPr="00A867AE">
        <w:rPr>
          <w:b/>
          <w:spacing w:val="-12"/>
        </w:rPr>
        <w:t xml:space="preserve"> </w:t>
      </w:r>
      <w:r w:rsidRPr="00A867AE">
        <w:rPr>
          <w:b/>
        </w:rPr>
        <w:t>A</w:t>
      </w:r>
      <w:r w:rsidRPr="00A867AE">
        <w:rPr>
          <w:b/>
          <w:spacing w:val="-12"/>
        </w:rPr>
        <w:t xml:space="preserve"> </w:t>
      </w:r>
      <w:r w:rsidRPr="00A867AE">
        <w:t>will</w:t>
      </w:r>
      <w:r w:rsidRPr="00A867AE">
        <w:rPr>
          <w:spacing w:val="-12"/>
        </w:rPr>
        <w:t xml:space="preserve"> </w:t>
      </w:r>
      <w:r w:rsidRPr="00A867AE">
        <w:t>be</w:t>
      </w:r>
      <w:r w:rsidRPr="00A867AE">
        <w:rPr>
          <w:spacing w:val="-14"/>
        </w:rPr>
        <w:t xml:space="preserve"> </w:t>
      </w:r>
      <w:r w:rsidRPr="00A867AE">
        <w:t>an</w:t>
      </w:r>
      <w:r w:rsidRPr="00A867AE">
        <w:rPr>
          <w:spacing w:val="-14"/>
        </w:rPr>
        <w:t xml:space="preserve"> </w:t>
      </w:r>
      <w:r w:rsidRPr="00A867AE">
        <w:t>inquiry</w:t>
      </w:r>
      <w:r w:rsidRPr="00A867AE">
        <w:rPr>
          <w:spacing w:val="-10"/>
        </w:rPr>
        <w:t xml:space="preserve"> </w:t>
      </w:r>
      <w:r w:rsidRPr="00A867AE">
        <w:t>into</w:t>
      </w:r>
      <w:r w:rsidRPr="00A867AE">
        <w:rPr>
          <w:spacing w:val="-13"/>
        </w:rPr>
        <w:t xml:space="preserve"> </w:t>
      </w:r>
      <w:r w:rsidRPr="00A867AE">
        <w:t>the</w:t>
      </w:r>
      <w:r w:rsidRPr="00A867AE">
        <w:rPr>
          <w:spacing w:val="-14"/>
        </w:rPr>
        <w:t xml:space="preserve"> </w:t>
      </w:r>
      <w:r w:rsidRPr="00A867AE">
        <w:t>operation</w:t>
      </w:r>
      <w:r w:rsidRPr="00A867AE">
        <w:rPr>
          <w:spacing w:val="-14"/>
        </w:rPr>
        <w:t xml:space="preserve"> </w:t>
      </w:r>
      <w:r w:rsidRPr="00A867AE">
        <w:t>of</w:t>
      </w:r>
      <w:r w:rsidRPr="00A867AE">
        <w:rPr>
          <w:spacing w:val="-13"/>
        </w:rPr>
        <w:t xml:space="preserve"> </w:t>
      </w:r>
      <w:r w:rsidRPr="00A867AE">
        <w:t>The</w:t>
      </w:r>
      <w:r w:rsidRPr="00A867AE">
        <w:rPr>
          <w:spacing w:val="-16"/>
        </w:rPr>
        <w:t xml:space="preserve"> </w:t>
      </w:r>
      <w:r w:rsidRPr="00A867AE">
        <w:t>Star</w:t>
      </w:r>
      <w:r w:rsidRPr="00A867AE">
        <w:rPr>
          <w:spacing w:val="-12"/>
        </w:rPr>
        <w:t xml:space="preserve"> </w:t>
      </w:r>
      <w:r w:rsidRPr="00A867AE">
        <w:t>Gold</w:t>
      </w:r>
      <w:r w:rsidRPr="00A867AE">
        <w:rPr>
          <w:spacing w:val="-14"/>
        </w:rPr>
        <w:t xml:space="preserve"> </w:t>
      </w:r>
      <w:r w:rsidRPr="00A867AE">
        <w:t>Coast</w:t>
      </w:r>
      <w:r w:rsidRPr="00A867AE">
        <w:rPr>
          <w:spacing w:val="-10"/>
        </w:rPr>
        <w:t xml:space="preserve"> </w:t>
      </w:r>
      <w:r w:rsidRPr="00A867AE">
        <w:t>and</w:t>
      </w:r>
      <w:r w:rsidRPr="00A867AE">
        <w:rPr>
          <w:spacing w:val="-14"/>
        </w:rPr>
        <w:t xml:space="preserve"> </w:t>
      </w:r>
      <w:r w:rsidRPr="00A867AE">
        <w:t>Treasury</w:t>
      </w:r>
      <w:r w:rsidR="00B5033E" w:rsidRPr="00A867AE">
        <w:t xml:space="preserve"> Brisbane</w:t>
      </w:r>
      <w:r w:rsidRPr="00A867AE">
        <w:rPr>
          <w:spacing w:val="-13"/>
        </w:rPr>
        <w:t xml:space="preserve"> </w:t>
      </w:r>
      <w:r w:rsidRPr="00A867AE">
        <w:t xml:space="preserve">casinos to examine the extent to which </w:t>
      </w:r>
      <w:r w:rsidR="00B5033E" w:rsidRPr="00A867AE">
        <w:t xml:space="preserve">their </w:t>
      </w:r>
      <w:r w:rsidRPr="00A867AE">
        <w:t>operations are consistent with achieving the objectives</w:t>
      </w:r>
      <w:r w:rsidRPr="00A867AE">
        <w:rPr>
          <w:spacing w:val="-11"/>
        </w:rPr>
        <w:t xml:space="preserve"> </w:t>
      </w:r>
      <w:r w:rsidRPr="00A867AE">
        <w:t>of</w:t>
      </w:r>
      <w:r w:rsidRPr="00A867AE">
        <w:rPr>
          <w:spacing w:val="-10"/>
        </w:rPr>
        <w:t xml:space="preserve"> </w:t>
      </w:r>
      <w:r w:rsidRPr="00A867AE">
        <w:t>the</w:t>
      </w:r>
      <w:r w:rsidRPr="00A867AE">
        <w:rPr>
          <w:spacing w:val="-12"/>
        </w:rPr>
        <w:t xml:space="preserve"> </w:t>
      </w:r>
      <w:r w:rsidRPr="00A867AE">
        <w:t>Casino</w:t>
      </w:r>
      <w:r w:rsidRPr="00A867AE">
        <w:rPr>
          <w:spacing w:val="-12"/>
        </w:rPr>
        <w:t xml:space="preserve"> </w:t>
      </w:r>
      <w:r w:rsidRPr="00A867AE">
        <w:t>Control</w:t>
      </w:r>
      <w:r w:rsidRPr="00A867AE">
        <w:rPr>
          <w:spacing w:val="-10"/>
        </w:rPr>
        <w:t xml:space="preserve"> </w:t>
      </w:r>
      <w:r w:rsidRPr="00A867AE">
        <w:t>Act.</w:t>
      </w:r>
      <w:r w:rsidRPr="00A867AE">
        <w:rPr>
          <w:spacing w:val="-10"/>
        </w:rPr>
        <w:t xml:space="preserve"> </w:t>
      </w:r>
      <w:r w:rsidRPr="00A867AE">
        <w:t>Part</w:t>
      </w:r>
      <w:r w:rsidRPr="00A867AE">
        <w:rPr>
          <w:spacing w:val="-9"/>
        </w:rPr>
        <w:t xml:space="preserve"> </w:t>
      </w:r>
      <w:r w:rsidRPr="00A867AE">
        <w:t>A</w:t>
      </w:r>
      <w:r w:rsidRPr="00A867AE">
        <w:rPr>
          <w:spacing w:val="-9"/>
        </w:rPr>
        <w:t xml:space="preserve"> </w:t>
      </w:r>
      <w:r w:rsidRPr="00A867AE">
        <w:t>will</w:t>
      </w:r>
      <w:r w:rsidRPr="00A867AE">
        <w:rPr>
          <w:spacing w:val="-10"/>
        </w:rPr>
        <w:t xml:space="preserve"> </w:t>
      </w:r>
      <w:r w:rsidRPr="00A867AE">
        <w:t>be</w:t>
      </w:r>
      <w:r w:rsidRPr="00A867AE">
        <w:rPr>
          <w:spacing w:val="-9"/>
        </w:rPr>
        <w:t xml:space="preserve"> </w:t>
      </w:r>
      <w:r w:rsidRPr="00A867AE">
        <w:t>undertaken</w:t>
      </w:r>
      <w:r w:rsidRPr="00A867AE">
        <w:rPr>
          <w:spacing w:val="-9"/>
        </w:rPr>
        <w:t xml:space="preserve"> </w:t>
      </w:r>
      <w:r w:rsidRPr="00A867AE">
        <w:t>under</w:t>
      </w:r>
      <w:r w:rsidRPr="00A867AE">
        <w:rPr>
          <w:spacing w:val="-8"/>
        </w:rPr>
        <w:t xml:space="preserve"> </w:t>
      </w:r>
      <w:r w:rsidRPr="00A867AE">
        <w:t>s</w:t>
      </w:r>
      <w:r w:rsidR="00A867AE">
        <w:t xml:space="preserve">ection </w:t>
      </w:r>
      <w:r w:rsidRPr="00A867AE">
        <w:t>91</w:t>
      </w:r>
      <w:r w:rsidRPr="00A867AE">
        <w:rPr>
          <w:spacing w:val="-12"/>
        </w:rPr>
        <w:t xml:space="preserve"> </w:t>
      </w:r>
      <w:r w:rsidRPr="00A867AE">
        <w:t>of</w:t>
      </w:r>
      <w:r w:rsidRPr="00A867AE">
        <w:rPr>
          <w:spacing w:val="-10"/>
        </w:rPr>
        <w:t xml:space="preserve"> </w:t>
      </w:r>
      <w:r w:rsidRPr="00A867AE">
        <w:t>the</w:t>
      </w:r>
      <w:r w:rsidRPr="00A867AE">
        <w:rPr>
          <w:spacing w:val="-9"/>
        </w:rPr>
        <w:t xml:space="preserve"> </w:t>
      </w:r>
      <w:r w:rsidRPr="00A867AE">
        <w:t xml:space="preserve">Casino Control Act which affords all the powers, authorities, rights, privileges, protection and jurisdiction of a commission of inquiry under the </w:t>
      </w:r>
      <w:r w:rsidRPr="00A867AE">
        <w:rPr>
          <w:i/>
        </w:rPr>
        <w:t>Commissions of Inquiry Act 1950</w:t>
      </w:r>
      <w:r w:rsidRPr="00A867AE">
        <w:t>, except</w:t>
      </w:r>
      <w:r w:rsidRPr="00A867AE">
        <w:rPr>
          <w:spacing w:val="-3"/>
        </w:rPr>
        <w:t xml:space="preserve"> </w:t>
      </w:r>
      <w:r w:rsidRPr="00A867AE">
        <w:t>for</w:t>
      </w:r>
      <w:r w:rsidRPr="00A867AE">
        <w:rPr>
          <w:spacing w:val="-3"/>
        </w:rPr>
        <w:t xml:space="preserve"> </w:t>
      </w:r>
      <w:r w:rsidRPr="00A867AE">
        <w:t>those</w:t>
      </w:r>
      <w:r w:rsidRPr="00A867AE">
        <w:rPr>
          <w:spacing w:val="-4"/>
        </w:rPr>
        <w:t xml:space="preserve"> </w:t>
      </w:r>
      <w:r w:rsidRPr="00A867AE">
        <w:t>reserved</w:t>
      </w:r>
      <w:r w:rsidRPr="00A867AE">
        <w:rPr>
          <w:spacing w:val="-2"/>
        </w:rPr>
        <w:t xml:space="preserve"> </w:t>
      </w:r>
      <w:r w:rsidRPr="00A867AE">
        <w:t>to</w:t>
      </w:r>
      <w:r w:rsidRPr="00A867AE">
        <w:rPr>
          <w:spacing w:val="-2"/>
        </w:rPr>
        <w:t xml:space="preserve"> </w:t>
      </w:r>
      <w:r w:rsidRPr="00A867AE">
        <w:t>a</w:t>
      </w:r>
      <w:r w:rsidRPr="00A867AE">
        <w:rPr>
          <w:spacing w:val="-4"/>
        </w:rPr>
        <w:t xml:space="preserve"> </w:t>
      </w:r>
      <w:r w:rsidRPr="00A867AE">
        <w:t>chairperson</w:t>
      </w:r>
      <w:r w:rsidRPr="00A867AE">
        <w:rPr>
          <w:spacing w:val="-2"/>
        </w:rPr>
        <w:t xml:space="preserve"> </w:t>
      </w:r>
      <w:r w:rsidRPr="00A867AE">
        <w:t>of a</w:t>
      </w:r>
      <w:r w:rsidRPr="00A867AE">
        <w:rPr>
          <w:spacing w:val="-4"/>
        </w:rPr>
        <w:t xml:space="preserve"> </w:t>
      </w:r>
      <w:r w:rsidRPr="00A867AE">
        <w:t>commission</w:t>
      </w:r>
      <w:r w:rsidRPr="00A867AE">
        <w:rPr>
          <w:spacing w:val="-2"/>
        </w:rPr>
        <w:t xml:space="preserve"> </w:t>
      </w:r>
      <w:r w:rsidRPr="00A867AE">
        <w:t>when</w:t>
      </w:r>
      <w:r w:rsidRPr="00A867AE">
        <w:rPr>
          <w:spacing w:val="-4"/>
        </w:rPr>
        <w:t xml:space="preserve"> </w:t>
      </w:r>
      <w:r w:rsidRPr="00A867AE">
        <w:t>that chairperson</w:t>
      </w:r>
      <w:r w:rsidRPr="00A867AE">
        <w:rPr>
          <w:spacing w:val="-2"/>
        </w:rPr>
        <w:t xml:space="preserve"> </w:t>
      </w:r>
      <w:r w:rsidRPr="00A867AE">
        <w:t>is</w:t>
      </w:r>
      <w:r w:rsidRPr="00A867AE">
        <w:rPr>
          <w:spacing w:val="-1"/>
        </w:rPr>
        <w:t xml:space="preserve"> </w:t>
      </w:r>
      <w:r w:rsidRPr="00A867AE">
        <w:t>a judge of the Supreme Court.</w:t>
      </w:r>
    </w:p>
    <w:p w14:paraId="0FE9A4A1" w14:textId="7E579629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rPr>
          <w:b/>
        </w:rPr>
        <w:t>Part B</w:t>
      </w:r>
      <w:r w:rsidRPr="00A867AE">
        <w:rPr>
          <w:b/>
          <w:spacing w:val="-2"/>
        </w:rPr>
        <w:t xml:space="preserve"> </w:t>
      </w:r>
      <w:r w:rsidRPr="00A867AE">
        <w:t>will</w:t>
      </w:r>
      <w:r w:rsidRPr="00A867AE">
        <w:rPr>
          <w:spacing w:val="-1"/>
        </w:rPr>
        <w:t xml:space="preserve"> </w:t>
      </w:r>
      <w:r w:rsidRPr="00A867AE">
        <w:t>provide</w:t>
      </w:r>
      <w:r w:rsidRPr="00A867AE">
        <w:rPr>
          <w:spacing w:val="-1"/>
        </w:rPr>
        <w:t xml:space="preserve"> </w:t>
      </w:r>
      <w:r w:rsidRPr="00A867AE">
        <w:t>advice to</w:t>
      </w:r>
      <w:r w:rsidRPr="00A867AE">
        <w:rPr>
          <w:spacing w:val="-2"/>
        </w:rPr>
        <w:t xml:space="preserve"> </w:t>
      </w:r>
      <w:r w:rsidRPr="00A867AE">
        <w:t>the Attorney-General</w:t>
      </w:r>
      <w:r w:rsidRPr="00A867AE">
        <w:rPr>
          <w:spacing w:val="-1"/>
        </w:rPr>
        <w:t xml:space="preserve"> </w:t>
      </w:r>
      <w:r w:rsidRPr="00A867AE">
        <w:t>and Minister</w:t>
      </w:r>
      <w:r w:rsidRPr="00A867AE">
        <w:rPr>
          <w:spacing w:val="-2"/>
        </w:rPr>
        <w:t xml:space="preserve"> </w:t>
      </w:r>
      <w:r w:rsidRPr="00A867AE">
        <w:t>for Justice,</w:t>
      </w:r>
      <w:r w:rsidRPr="00A867AE">
        <w:rPr>
          <w:spacing w:val="-2"/>
        </w:rPr>
        <w:t xml:space="preserve"> </w:t>
      </w:r>
      <w:r w:rsidRPr="00A867AE">
        <w:t>Minister</w:t>
      </w:r>
      <w:r w:rsidRPr="00A867AE">
        <w:rPr>
          <w:spacing w:val="-2"/>
        </w:rPr>
        <w:t xml:space="preserve"> </w:t>
      </w:r>
      <w:r w:rsidRPr="00A867AE">
        <w:t>for Women</w:t>
      </w:r>
      <w:r w:rsidRPr="00A867AE">
        <w:rPr>
          <w:spacing w:val="40"/>
        </w:rPr>
        <w:t xml:space="preserve"> </w:t>
      </w:r>
      <w:r w:rsidRPr="00A867AE">
        <w:t>and</w:t>
      </w:r>
      <w:r w:rsidRPr="00A867AE">
        <w:rPr>
          <w:spacing w:val="40"/>
        </w:rPr>
        <w:t xml:space="preserve"> </w:t>
      </w:r>
      <w:r w:rsidRPr="00A867AE">
        <w:t>Minister</w:t>
      </w:r>
      <w:r w:rsidRPr="00A867AE">
        <w:rPr>
          <w:spacing w:val="40"/>
        </w:rPr>
        <w:t xml:space="preserve"> </w:t>
      </w:r>
      <w:r w:rsidRPr="00A867AE">
        <w:t>for</w:t>
      </w:r>
      <w:r w:rsidRPr="00A867AE">
        <w:rPr>
          <w:spacing w:val="40"/>
        </w:rPr>
        <w:t xml:space="preserve"> </w:t>
      </w:r>
      <w:r w:rsidRPr="00A867AE">
        <w:t>the</w:t>
      </w:r>
      <w:r w:rsidRPr="00A867AE">
        <w:rPr>
          <w:spacing w:val="40"/>
        </w:rPr>
        <w:t xml:space="preserve"> </w:t>
      </w:r>
      <w:r w:rsidRPr="00A867AE">
        <w:t>Prevention</w:t>
      </w:r>
      <w:r w:rsidRPr="00A867AE">
        <w:rPr>
          <w:spacing w:val="40"/>
        </w:rPr>
        <w:t xml:space="preserve"> </w:t>
      </w:r>
      <w:r w:rsidRPr="00A867AE">
        <w:t>of</w:t>
      </w:r>
      <w:r w:rsidRPr="00A867AE">
        <w:rPr>
          <w:spacing w:val="40"/>
        </w:rPr>
        <w:t xml:space="preserve"> </w:t>
      </w:r>
      <w:r w:rsidRPr="00A867AE">
        <w:t>Domestic</w:t>
      </w:r>
      <w:r w:rsidRPr="00A867AE">
        <w:rPr>
          <w:spacing w:val="40"/>
        </w:rPr>
        <w:t xml:space="preserve"> </w:t>
      </w:r>
      <w:r w:rsidRPr="00A867AE">
        <w:t>and</w:t>
      </w:r>
      <w:r w:rsidRPr="00A867AE">
        <w:rPr>
          <w:spacing w:val="40"/>
        </w:rPr>
        <w:t xml:space="preserve"> </w:t>
      </w:r>
      <w:r w:rsidRPr="00A867AE">
        <w:t>Family</w:t>
      </w:r>
      <w:r w:rsidRPr="00A867AE">
        <w:rPr>
          <w:spacing w:val="40"/>
        </w:rPr>
        <w:t xml:space="preserve"> </w:t>
      </w:r>
      <w:r w:rsidRPr="00A867AE">
        <w:t>Violence (Attorney</w:t>
      </w:r>
      <w:r w:rsidR="001C6153" w:rsidRPr="00A867AE">
        <w:noBreakHyphen/>
      </w:r>
      <w:r w:rsidRPr="00A867AE">
        <w:t>General) to</w:t>
      </w:r>
      <w:r w:rsidRPr="00A867AE">
        <w:rPr>
          <w:spacing w:val="-1"/>
        </w:rPr>
        <w:t xml:space="preserve"> </w:t>
      </w:r>
      <w:r w:rsidRPr="00A867AE">
        <w:t>inform considerations about ongoing</w:t>
      </w:r>
      <w:r w:rsidRPr="00A867AE">
        <w:rPr>
          <w:spacing w:val="-1"/>
        </w:rPr>
        <w:t xml:space="preserve"> </w:t>
      </w:r>
      <w:r w:rsidRPr="00A867AE">
        <w:t xml:space="preserve">suitability </w:t>
      </w:r>
      <w:r w:rsidR="00B5033E" w:rsidRPr="00A867AE">
        <w:t xml:space="preserve">of Star Group licensees to hold a casino licence in Queensland and the </w:t>
      </w:r>
      <w:r w:rsidRPr="00A867AE">
        <w:t>Star</w:t>
      </w:r>
      <w:r w:rsidR="00B5033E" w:rsidRPr="00A867AE">
        <w:t xml:space="preserve"> Group to be associated with the operation of a casino under the Casino Control Act</w:t>
      </w:r>
      <w:r w:rsidRPr="00A867AE">
        <w:t>.</w:t>
      </w:r>
    </w:p>
    <w:p w14:paraId="0FE9A4A3" w14:textId="77777777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rPr>
          <w:b/>
        </w:rPr>
        <w:t xml:space="preserve">Part C </w:t>
      </w:r>
      <w:r w:rsidRPr="00A867AE">
        <w:t>will consider whether any further improvements to casino procedures, regulations and legislation applicable to all four Queensland casinos is warranted.</w:t>
      </w:r>
    </w:p>
    <w:p w14:paraId="0FE9A4A9" w14:textId="3B45E428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rPr>
          <w:u w:val="single"/>
        </w:rPr>
        <w:t>Cabinet approved</w:t>
      </w:r>
      <w:r w:rsidRPr="00A867AE">
        <w:t xml:space="preserve"> the terms of reference for the external review into the operation of </w:t>
      </w:r>
      <w:r w:rsidR="00B5033E" w:rsidRPr="00A867AE">
        <w:t>T</w:t>
      </w:r>
      <w:r w:rsidRPr="00A867AE">
        <w:t>he Star Gold Coast and Treasury</w:t>
      </w:r>
      <w:r w:rsidR="00B5033E" w:rsidRPr="00A867AE">
        <w:t xml:space="preserve"> Brisbane</w:t>
      </w:r>
      <w:r w:rsidRPr="00A867AE">
        <w:t xml:space="preserve"> casinos to commence as soon as possible and conclude by 30 September 2022 unless otherwise determined.</w:t>
      </w:r>
    </w:p>
    <w:p w14:paraId="79555EB5" w14:textId="7C2C0AB3" w:rsidR="00EC3FEE" w:rsidRPr="00A867AE" w:rsidRDefault="00EC3FEE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A867AE">
        <w:rPr>
          <w:u w:val="single"/>
        </w:rPr>
        <w:t>Cabinet approved</w:t>
      </w:r>
      <w:r w:rsidRPr="00A867AE">
        <w:t xml:space="preserve"> the appointment by the Premier and Minister for the Olympics and the Attorney-General of a qualified candidate to conduct the review.</w:t>
      </w:r>
    </w:p>
    <w:p w14:paraId="0FE9A4AB" w14:textId="0B9884C8" w:rsidR="002208FF" w:rsidRPr="00A867AE" w:rsidRDefault="00A376B1" w:rsidP="00A867AE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</w:rPr>
      </w:pPr>
      <w:r w:rsidRPr="00A867AE">
        <w:rPr>
          <w:i/>
          <w:spacing w:val="-2"/>
          <w:u w:val="single"/>
        </w:rPr>
        <w:t>Attachments</w:t>
      </w:r>
      <w:r w:rsidR="00605F2B" w:rsidRPr="00A867AE">
        <w:rPr>
          <w:iCs/>
          <w:spacing w:val="-2"/>
        </w:rPr>
        <w:t>:</w:t>
      </w:r>
    </w:p>
    <w:p w14:paraId="0FE9A4AD" w14:textId="6FE78056" w:rsidR="002208FF" w:rsidRPr="00A867AE" w:rsidRDefault="00225A48" w:rsidP="00A867AE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567"/>
        <w:jc w:val="left"/>
      </w:pPr>
      <w:hyperlink r:id="rId9" w:history="1">
        <w:r w:rsidR="00A376B1" w:rsidRPr="005A7D7C">
          <w:rPr>
            <w:rStyle w:val="Hyperlink"/>
          </w:rPr>
          <w:t>Terms</w:t>
        </w:r>
        <w:r w:rsidR="00A376B1" w:rsidRPr="005A7D7C">
          <w:rPr>
            <w:rStyle w:val="Hyperlink"/>
            <w:spacing w:val="-5"/>
          </w:rPr>
          <w:t xml:space="preserve"> </w:t>
        </w:r>
        <w:r w:rsidR="00A376B1" w:rsidRPr="005A7D7C">
          <w:rPr>
            <w:rStyle w:val="Hyperlink"/>
          </w:rPr>
          <w:t>of</w:t>
        </w:r>
        <w:r w:rsidR="00A376B1" w:rsidRPr="005A7D7C">
          <w:rPr>
            <w:rStyle w:val="Hyperlink"/>
            <w:spacing w:val="-2"/>
          </w:rPr>
          <w:t xml:space="preserve"> reference</w:t>
        </w:r>
      </w:hyperlink>
    </w:p>
    <w:sectPr w:rsidR="002208FF" w:rsidRPr="00A867AE" w:rsidSect="007C489E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0477" w14:textId="77777777" w:rsidR="00CB1D05" w:rsidRDefault="00CB1D05">
      <w:r>
        <w:separator/>
      </w:r>
    </w:p>
  </w:endnote>
  <w:endnote w:type="continuationSeparator" w:id="0">
    <w:p w14:paraId="64085224" w14:textId="77777777" w:rsidR="00CB1D05" w:rsidRDefault="00C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AA73" w14:textId="77777777" w:rsidR="00CB1D05" w:rsidRDefault="00CB1D05">
      <w:r>
        <w:separator/>
      </w:r>
    </w:p>
  </w:footnote>
  <w:footnote w:type="continuationSeparator" w:id="0">
    <w:p w14:paraId="4E8896E9" w14:textId="77777777" w:rsidR="00CB1D05" w:rsidRDefault="00CB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6B5" w14:textId="77777777" w:rsidR="007C489E" w:rsidRPr="00937A4A" w:rsidRDefault="007C489E" w:rsidP="007C489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503FAF0" w14:textId="77777777" w:rsidR="007C489E" w:rsidRPr="00937A4A" w:rsidRDefault="007C489E" w:rsidP="007C489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4BE90F8" w14:textId="07ACEA91" w:rsidR="007C489E" w:rsidRPr="00937A4A" w:rsidRDefault="007C489E" w:rsidP="007C489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2022</w:t>
    </w:r>
  </w:p>
  <w:p w14:paraId="5DCC5461" w14:textId="4D9A267B" w:rsidR="007C489E" w:rsidRDefault="007C489E" w:rsidP="00D76E72">
    <w:pPr>
      <w:pStyle w:val="Header"/>
      <w:spacing w:before="120"/>
      <w:jc w:val="both"/>
      <w:rPr>
        <w:b/>
        <w:u w:val="single"/>
      </w:rPr>
    </w:pPr>
    <w:r w:rsidRPr="007C489E">
      <w:rPr>
        <w:b/>
        <w:u w:val="single"/>
      </w:rPr>
      <w:t>External review of the Queensland operations of The Star Entertainment Group Limited</w:t>
    </w:r>
  </w:p>
  <w:p w14:paraId="02CE08B9" w14:textId="2FC60A94" w:rsidR="007C489E" w:rsidRDefault="007C489E" w:rsidP="00D76E72">
    <w:pPr>
      <w:pStyle w:val="Header"/>
      <w:spacing w:before="120"/>
      <w:jc w:val="both"/>
      <w:rPr>
        <w:b/>
        <w:u w:val="single"/>
      </w:rPr>
    </w:pPr>
    <w:r w:rsidRPr="00605F2B">
      <w:rPr>
        <w:b/>
        <w:u w:val="single"/>
      </w:rPr>
      <w:t>Attorney-General</w:t>
    </w:r>
    <w:r w:rsidRPr="00605F2B">
      <w:rPr>
        <w:b/>
        <w:spacing w:val="-3"/>
        <w:u w:val="single"/>
      </w:rPr>
      <w:t xml:space="preserve"> </w:t>
    </w:r>
    <w:r w:rsidRPr="00605F2B">
      <w:rPr>
        <w:b/>
        <w:u w:val="single"/>
      </w:rPr>
      <w:t>and</w:t>
    </w:r>
    <w:r w:rsidRPr="00605F2B">
      <w:rPr>
        <w:b/>
        <w:spacing w:val="-4"/>
        <w:u w:val="single"/>
      </w:rPr>
      <w:t xml:space="preserve"> </w:t>
    </w:r>
    <w:r w:rsidRPr="00605F2B">
      <w:rPr>
        <w:b/>
        <w:u w:val="single"/>
      </w:rPr>
      <w:t>Minister</w:t>
    </w:r>
    <w:r w:rsidRPr="00605F2B">
      <w:rPr>
        <w:b/>
        <w:spacing w:val="-3"/>
        <w:u w:val="single"/>
      </w:rPr>
      <w:t xml:space="preserve"> </w:t>
    </w:r>
    <w:r w:rsidRPr="00605F2B">
      <w:rPr>
        <w:b/>
        <w:u w:val="single"/>
      </w:rPr>
      <w:t>for</w:t>
    </w:r>
    <w:r w:rsidRPr="00605F2B">
      <w:rPr>
        <w:b/>
        <w:spacing w:val="-1"/>
        <w:u w:val="single"/>
      </w:rPr>
      <w:t xml:space="preserve"> </w:t>
    </w:r>
    <w:r w:rsidRPr="00605F2B">
      <w:rPr>
        <w:b/>
        <w:u w:val="single"/>
      </w:rPr>
      <w:t>Justice,</w:t>
    </w:r>
    <w:r w:rsidRPr="00605F2B">
      <w:rPr>
        <w:b/>
        <w:spacing w:val="-3"/>
        <w:u w:val="single"/>
      </w:rPr>
      <w:t xml:space="preserve"> </w:t>
    </w:r>
    <w:r w:rsidRPr="00605F2B">
      <w:rPr>
        <w:b/>
        <w:u w:val="single"/>
      </w:rPr>
      <w:t>Minister</w:t>
    </w:r>
    <w:r w:rsidRPr="00605F2B">
      <w:rPr>
        <w:b/>
        <w:spacing w:val="-4"/>
        <w:u w:val="single"/>
      </w:rPr>
      <w:t xml:space="preserve"> </w:t>
    </w:r>
    <w:r w:rsidRPr="00605F2B">
      <w:rPr>
        <w:b/>
        <w:u w:val="single"/>
      </w:rPr>
      <w:t>for</w:t>
    </w:r>
    <w:r w:rsidRPr="00605F2B">
      <w:rPr>
        <w:b/>
        <w:spacing w:val="-3"/>
        <w:u w:val="single"/>
      </w:rPr>
      <w:t xml:space="preserve"> </w:t>
    </w:r>
    <w:r w:rsidRPr="00605F2B">
      <w:rPr>
        <w:b/>
        <w:u w:val="single"/>
      </w:rPr>
      <w:t>Women</w:t>
    </w:r>
    <w:r w:rsidRPr="00605F2B">
      <w:rPr>
        <w:b/>
        <w:spacing w:val="-4"/>
        <w:u w:val="single"/>
      </w:rPr>
      <w:t xml:space="preserve"> </w:t>
    </w:r>
    <w:r w:rsidRPr="00605F2B">
      <w:rPr>
        <w:b/>
        <w:u w:val="single"/>
      </w:rPr>
      <w:t>and</w:t>
    </w:r>
    <w:r w:rsidRPr="00605F2B">
      <w:rPr>
        <w:b/>
        <w:spacing w:val="-4"/>
        <w:u w:val="single"/>
      </w:rPr>
      <w:t xml:space="preserve"> </w:t>
    </w:r>
    <w:r w:rsidRPr="00605F2B">
      <w:rPr>
        <w:b/>
        <w:u w:val="single"/>
      </w:rPr>
      <w:t>Minister</w:t>
    </w:r>
    <w:r w:rsidRPr="00605F2B">
      <w:rPr>
        <w:b/>
        <w:spacing w:val="-3"/>
        <w:u w:val="single"/>
      </w:rPr>
      <w:t xml:space="preserve"> </w:t>
    </w:r>
    <w:r w:rsidRPr="00605F2B">
      <w:rPr>
        <w:b/>
        <w:u w:val="single"/>
      </w:rPr>
      <w:t>for</w:t>
    </w:r>
    <w:r w:rsidRPr="00605F2B">
      <w:rPr>
        <w:b/>
        <w:spacing w:val="-3"/>
        <w:u w:val="single"/>
      </w:rPr>
      <w:t xml:space="preserve"> </w:t>
    </w:r>
    <w:r w:rsidRPr="00605F2B">
      <w:rPr>
        <w:b/>
        <w:u w:val="single"/>
      </w:rPr>
      <w:t>the Prevention of Domestic and Family Violence</w:t>
    </w:r>
  </w:p>
  <w:p w14:paraId="353161DF" w14:textId="77777777" w:rsidR="007C489E" w:rsidRDefault="007C489E" w:rsidP="007C489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D1C"/>
    <w:multiLevelType w:val="hybridMultilevel"/>
    <w:tmpl w:val="441693EA"/>
    <w:lvl w:ilvl="0" w:tplc="E1423F5E">
      <w:start w:val="1"/>
      <w:numFmt w:val="decimal"/>
      <w:lvlText w:val="%1."/>
      <w:lvlJc w:val="left"/>
      <w:pPr>
        <w:ind w:left="582" w:hanging="358"/>
      </w:pPr>
      <w:rPr>
        <w:rFonts w:hint="default"/>
        <w:i w:val="0"/>
        <w:iCs/>
        <w:spacing w:val="-1"/>
        <w:w w:val="100"/>
        <w:lang w:val="en-AU" w:eastAsia="en-US" w:bidi="ar-SA"/>
      </w:rPr>
    </w:lvl>
    <w:lvl w:ilvl="1" w:tplc="34A86ADE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33549B26">
      <w:numFmt w:val="bullet"/>
      <w:lvlText w:val="•"/>
      <w:lvlJc w:val="left"/>
      <w:pPr>
        <w:ind w:left="2178" w:hanging="360"/>
      </w:pPr>
      <w:rPr>
        <w:rFonts w:hint="default"/>
        <w:lang w:val="en-AU" w:eastAsia="en-US" w:bidi="ar-SA"/>
      </w:rPr>
    </w:lvl>
    <w:lvl w:ilvl="3" w:tplc="8968BA9A">
      <w:numFmt w:val="bullet"/>
      <w:lvlText w:val="•"/>
      <w:lvlJc w:val="left"/>
      <w:pPr>
        <w:ind w:left="3056" w:hanging="360"/>
      </w:pPr>
      <w:rPr>
        <w:rFonts w:hint="default"/>
        <w:lang w:val="en-AU" w:eastAsia="en-US" w:bidi="ar-SA"/>
      </w:rPr>
    </w:lvl>
    <w:lvl w:ilvl="4" w:tplc="189090B8">
      <w:numFmt w:val="bullet"/>
      <w:lvlText w:val="•"/>
      <w:lvlJc w:val="left"/>
      <w:pPr>
        <w:ind w:left="3935" w:hanging="360"/>
      </w:pPr>
      <w:rPr>
        <w:rFonts w:hint="default"/>
        <w:lang w:val="en-AU" w:eastAsia="en-US" w:bidi="ar-SA"/>
      </w:rPr>
    </w:lvl>
    <w:lvl w:ilvl="5" w:tplc="6DD04030">
      <w:numFmt w:val="bullet"/>
      <w:lvlText w:val="•"/>
      <w:lvlJc w:val="left"/>
      <w:pPr>
        <w:ind w:left="4813" w:hanging="360"/>
      </w:pPr>
      <w:rPr>
        <w:rFonts w:hint="default"/>
        <w:lang w:val="en-AU" w:eastAsia="en-US" w:bidi="ar-SA"/>
      </w:rPr>
    </w:lvl>
    <w:lvl w:ilvl="6" w:tplc="DC38D6A4">
      <w:numFmt w:val="bullet"/>
      <w:lvlText w:val="•"/>
      <w:lvlJc w:val="left"/>
      <w:pPr>
        <w:ind w:left="5692" w:hanging="360"/>
      </w:pPr>
      <w:rPr>
        <w:rFonts w:hint="default"/>
        <w:lang w:val="en-AU" w:eastAsia="en-US" w:bidi="ar-SA"/>
      </w:rPr>
    </w:lvl>
    <w:lvl w:ilvl="7" w:tplc="EB34AF30">
      <w:numFmt w:val="bullet"/>
      <w:lvlText w:val="•"/>
      <w:lvlJc w:val="left"/>
      <w:pPr>
        <w:ind w:left="6570" w:hanging="360"/>
      </w:pPr>
      <w:rPr>
        <w:rFonts w:hint="default"/>
        <w:lang w:val="en-AU" w:eastAsia="en-US" w:bidi="ar-SA"/>
      </w:rPr>
    </w:lvl>
    <w:lvl w:ilvl="8" w:tplc="3DD6A55E">
      <w:numFmt w:val="bullet"/>
      <w:lvlText w:val="•"/>
      <w:lvlJc w:val="left"/>
      <w:pPr>
        <w:ind w:left="7449" w:hanging="360"/>
      </w:pPr>
      <w:rPr>
        <w:rFonts w:hint="default"/>
        <w:lang w:val="en-AU" w:eastAsia="en-US" w:bidi="ar-SA"/>
      </w:rPr>
    </w:lvl>
  </w:abstractNum>
  <w:num w:numId="1" w16cid:durableId="172906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FF"/>
    <w:rsid w:val="000872BA"/>
    <w:rsid w:val="001C6153"/>
    <w:rsid w:val="002208FF"/>
    <w:rsid w:val="00225A48"/>
    <w:rsid w:val="0039287F"/>
    <w:rsid w:val="00522889"/>
    <w:rsid w:val="005A7D7C"/>
    <w:rsid w:val="005C68A9"/>
    <w:rsid w:val="00605F2B"/>
    <w:rsid w:val="0065337C"/>
    <w:rsid w:val="00657AAB"/>
    <w:rsid w:val="007C489E"/>
    <w:rsid w:val="008157A1"/>
    <w:rsid w:val="008A52EE"/>
    <w:rsid w:val="00A376B1"/>
    <w:rsid w:val="00A474C3"/>
    <w:rsid w:val="00A867AE"/>
    <w:rsid w:val="00AC0E73"/>
    <w:rsid w:val="00B5033E"/>
    <w:rsid w:val="00BE0D41"/>
    <w:rsid w:val="00C24529"/>
    <w:rsid w:val="00C91A9F"/>
    <w:rsid w:val="00CB1D05"/>
    <w:rsid w:val="00D76E72"/>
    <w:rsid w:val="00EC3FEE"/>
    <w:rsid w:val="00EF6B3A"/>
    <w:rsid w:val="00F9105A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9A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442" w:right="43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442" w:right="43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1" w:right="214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7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73"/>
    <w:rPr>
      <w:rFonts w:ascii="Arial" w:eastAsia="Arial" w:hAnsi="Arial" w:cs="Arial"/>
      <w:lang w:val="en-AU"/>
    </w:rPr>
  </w:style>
  <w:style w:type="paragraph" w:styleId="Revision">
    <w:name w:val="Revision"/>
    <w:hidden/>
    <w:uiPriority w:val="99"/>
    <w:semiHidden/>
    <w:rsid w:val="00AC0E73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5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7C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7C"/>
    <w:rPr>
      <w:rFonts w:ascii="Arial" w:eastAsia="Arial" w:hAnsi="Arial" w:cs="Arial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A7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ttachments/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B5B51-8C33-43B9-A09F-C1C03C435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142F0-7215-4BA4-A24D-F22C1F67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2000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Base>https://www.cabinet.qld.gov.au/documents/2022/Jun/StarReview/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2022-08-12T01:04:00Z</dcterms:created>
  <dcterms:modified xsi:type="dcterms:W3CDTF">2023-01-19T22:40:00Z</dcterms:modified>
  <cp:category>Gaming,Integrity,Regulation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2022-06-24T00:00:00Z</vt:filetime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2023-01-19T22:40:15Z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506fcf93-024d-4d10-ace5-d6c8b53a4081</vt:lpwstr>
  </property>
  <property fmtid="{D5CDD505-2E9C-101B-9397-08002B2CF9AE}" pid="11" name="MSIP_Label_282828d4-d65e-4c38-b4f3-1feba3142871_ContentBits">
    <vt:lpwstr>0</vt:lpwstr>
  </property>
</Properties>
</file>